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9A" w:rsidRPr="009A7C5B" w:rsidRDefault="00EE679A" w:rsidP="009A7C5B">
      <w:pPr>
        <w:pStyle w:val="IntenseQuote"/>
        <w:jc w:val="center"/>
        <w:rPr>
          <w:b w:val="0"/>
          <w:bCs w:val="0"/>
          <w:i w:val="0"/>
          <w:iCs w:val="0"/>
          <w:sz w:val="32"/>
          <w:szCs w:val="32"/>
          <w:lang w:val="tr-TR" w:eastAsia="tr-TR"/>
        </w:rPr>
      </w:pPr>
      <w:bookmarkStart w:id="0" w:name="_Toc62391671"/>
      <w:bookmarkStart w:id="1" w:name="_Toc62391971"/>
      <w:bookmarkStart w:id="2" w:name="_Toc74562887"/>
      <w:r w:rsidRPr="009A7C5B">
        <w:rPr>
          <w:b w:val="0"/>
          <w:bCs w:val="0"/>
          <w:i w:val="0"/>
          <w:iCs w:val="0"/>
          <w:sz w:val="32"/>
          <w:szCs w:val="32"/>
          <w:lang w:val="tr-TR" w:eastAsia="tr-TR"/>
        </w:rPr>
        <w:t>HATT-I KUR’ÂNÎ’NİN MUHAFAZASI ESASI</w:t>
      </w:r>
      <w:bookmarkEnd w:id="0"/>
      <w:bookmarkEnd w:id="1"/>
      <w:bookmarkEnd w:id="2"/>
      <w:r w:rsidR="00D76EFE" w:rsidRPr="009A7C5B">
        <w:rPr>
          <w:b w:val="0"/>
          <w:bCs w:val="0"/>
          <w:i w:val="0"/>
          <w:iCs w:val="0"/>
          <w:sz w:val="32"/>
          <w:szCs w:val="32"/>
          <w:lang w:val="tr-TR" w:eastAsia="tr-TR"/>
        </w:rPr>
        <w:fldChar w:fldCharType="begin"/>
      </w:r>
      <w:r w:rsidRPr="009A7C5B">
        <w:rPr>
          <w:b w:val="0"/>
          <w:bCs w:val="0"/>
          <w:i w:val="0"/>
          <w:iCs w:val="0"/>
          <w:sz w:val="32"/>
          <w:szCs w:val="32"/>
          <w:lang w:val="tr-TR" w:eastAsia="tr-TR"/>
        </w:rPr>
        <w:instrText xml:space="preserve"> TC  "32-HATT-I KUR’ÂNÎ’N‹N MUHAFAZA ESASI" \l 1 </w:instrText>
      </w:r>
      <w:r w:rsidR="00D76EFE" w:rsidRPr="009A7C5B">
        <w:rPr>
          <w:b w:val="0"/>
          <w:bCs w:val="0"/>
          <w:i w:val="0"/>
          <w:iCs w:val="0"/>
          <w:sz w:val="32"/>
          <w:szCs w:val="32"/>
          <w:lang w:val="tr-TR" w:eastAsia="tr-TR"/>
        </w:rPr>
        <w:fldChar w:fldCharType="end"/>
      </w:r>
    </w:p>
    <w:p w:rsidR="00EE679A" w:rsidRPr="009A7C5B" w:rsidRDefault="00EE679A" w:rsidP="009A7C5B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t>1-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t xml:space="preserve"> «Kur’ân kelimesi, ebced hesabıyla 351’dir. İçinde iki elif var. Mahfî elif, “elfün” okunsa, “bin” mânâsın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daki elfün’dür. </w:t>
      </w:r>
      <w:r w:rsidRPr="009A7C5B">
        <w:rPr>
          <w:rFonts w:eastAsia="Times New Roman" w:cstheme="minorHAnsi"/>
          <w:position w:val="6"/>
          <w:sz w:val="24"/>
          <w:szCs w:val="24"/>
          <w:lang w:val="tr-TR" w:eastAsia="tr-TR"/>
        </w:rPr>
        <w:t>(</w:t>
      </w:r>
      <w:r w:rsidRPr="009A7C5B">
        <w:rPr>
          <w:rFonts w:eastAsia="Times New Roman" w:cstheme="minorHAnsi"/>
          <w:position w:val="6"/>
          <w:sz w:val="24"/>
          <w:szCs w:val="24"/>
          <w:lang w:val="tr-TR" w:eastAsia="tr-TR"/>
        </w:rPr>
        <w:footnoteReference w:customMarkFollows="1" w:id="2"/>
        <w:t>HAŞİYE)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t xml:space="preserve"> Demek 1351 se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softHyphen/>
        <w:t>nesine “sene-i Kur’âniye” tabir edilebilir. Çünkü, lâfz-ı Kur’ân’daki te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softHyphen/>
        <w:t>vafukatın sırr-ı acibi, Kur’ân’ın tefsiri olan Risale-i Nur eczalarında o sene göründü. Ve Kur’ân’daki Lâfz-ı Celâlin i’câzkârâne sırr-ı tevafuku aynı senede tezahür etti. Ve bir nakş-ı i’câzîyi gösterecek bir Kur’ân’ın yeni bir tarzda yazılması, aynı senede olu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yor. Ve 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t>hatt-ı Kur’ân’ın tebdiline karşı, Kur’ân şakirdlerinin bütün kuvvetleriyle hatt-ı Kur’ânîyi muha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t>faza</w:t>
      </w:r>
      <w:r w:rsidR="00D76EFE" w:rsidRPr="009A7C5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A7C5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"hatt-› Kur’ânîyi muha</w:instrTex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faza" </w:instrText>
      </w:r>
      <w:r w:rsidR="00D76EFE" w:rsidRPr="009A7C5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t>ya çalışması aynı senede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t>dir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t>.» (Mektubat sh: 428)</w:t>
      </w:r>
    </w:p>
    <w:p w:rsidR="00EE679A" w:rsidRPr="009A7C5B" w:rsidRDefault="00EE679A" w:rsidP="009A7C5B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t xml:space="preserve">2- 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t>«Bazı ulemanın yeni eserlerinde meslek ve meş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rep ayrı ve bid’atlara müsait gittiği için, 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t>Risale-i Nur zendekaya karşı hakaik-i ima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t>ni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t>yeyi muhafazaya çalış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t>ması gibi, bid’ata karşı da huruf ve hatt-ı Kur’ânı muha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t>faza</w:t>
      </w:r>
      <w:r w:rsidR="00D76EFE" w:rsidRPr="009A7C5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9A7C5B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"huruf ve hatt-› Kur’ân› muha</w:instrTex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faza" </w:instrText>
      </w:r>
      <w:r w:rsidR="00D76EFE" w:rsidRPr="009A7C5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t xml:space="preserve"> et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t>mek bir va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t>zifesi iken; has talebelerden birisi bil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t>fiil hu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t>ruf ve hatt-ı Kur’âniye’yi ders verdiği halde, sırrı bilinmez bir he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t>vesle, huruf ve hatt-ı Kur’âniyeye, ilm-i din perdesinde</w:t>
      </w:r>
      <w:r w:rsidR="00D76EFE" w:rsidRPr="009A7C5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9A7C5B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"huruf ve hatt-› Kur’âniyeye, ilm-i din perdesinde" </w:instrText>
      </w:r>
      <w:r w:rsidR="00D76EFE" w:rsidRPr="009A7C5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t xml:space="preserve"> tesirli bir su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t>rette darbe vuran bazı hoca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ların darbede is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t>ti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t>mal ettikleri eserleri almışlar. Haberim ol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t>ma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t>dan, dağda, şiddetli bir tarzda o has talebe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lere karşı bir gerginlik hissettim, sonra ikaz ettim. Elhamdü lillâh ayıldılar. İnşaallah ta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t>mamen kurtuldular.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t>» (Kastamonu Lâhikası sh: 77)</w:t>
      </w:r>
    </w:p>
    <w:p w:rsidR="00EE679A" w:rsidRPr="009A7C5B" w:rsidRDefault="00EE679A" w:rsidP="009A7C5B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A7C5B">
        <w:rPr>
          <w:rFonts w:eastAsia="Times New Roman" w:cstheme="minorHAnsi"/>
          <w:b/>
          <w:bCs/>
          <w:sz w:val="24"/>
          <w:szCs w:val="24"/>
          <w:lang w:val="tr-TR" w:eastAsia="tr-TR"/>
        </w:rPr>
        <w:t>3-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t xml:space="preserve"> «İki genç muallim daha eski yazı ile Nurlara gir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mesi ve 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t>çocukla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t>rın, huruf-u Kur’âniyeyi öğ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t>renmeye başlaması</w:t>
      </w:r>
      <w:r w:rsidR="00D76EFE" w:rsidRPr="009A7C5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9A7C5B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"çocuklar›n, huruf-u Kur’âniyeyi ö¤</w:instrTex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renmeye baﬂlamas›" </w:instrText>
      </w:r>
      <w:r w:rsidR="00D76EFE" w:rsidRPr="009A7C5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t xml:space="preserve"> ile Risale-i Nur’ları da yaz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t>maya girmeleri, büyük bir fa’l-i hayırdır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t>. Cenab-ı Hak o mâ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softHyphen/>
        <w:t>sumları mu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softHyphen/>
        <w:t>vaffak etsin.» (Emirdağ Lâhikası-I sh: 226)</w:t>
      </w:r>
    </w:p>
    <w:p w:rsidR="00EE679A" w:rsidRPr="009A7C5B" w:rsidRDefault="00EE679A" w:rsidP="009A7C5B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t>4-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t xml:space="preserve"> «Risale-i Nur’un neşir keyfiyeti de tarihte hiç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softHyphen/>
        <w:t>bir eserde gö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softHyphen/>
        <w:t>rülme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softHyphen/>
        <w:t>miş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softHyphen/>
        <w:t>tir. Şöyle ki:</w:t>
      </w:r>
    </w:p>
    <w:p w:rsidR="00EE679A" w:rsidRPr="009A7C5B" w:rsidRDefault="00EE679A" w:rsidP="009A7C5B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t>Kur’ân hattını muhafaza etmek</w:t>
      </w:r>
      <w:r w:rsidR="00D76EFE" w:rsidRPr="009A7C5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9A7C5B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"Kur’ân hatt›n› muhafaza etmek" </w:instrText>
      </w:r>
      <w:r w:rsidR="00D76EFE" w:rsidRPr="009A7C5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t xml:space="preserve"> hizmetiyle de mu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t>vazzaf olan Ri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t xml:space="preserve">sale-i Nur’un, muhakkak Kur’ân yazısıyla neşredilmesi lâzımdı. 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t>Eski yazı yasak edilmiş ve matba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softHyphen/>
        <w:t>aları kaldırılmıştı.» (Tarihçe-i Hayat sh: 162)</w:t>
      </w:r>
    </w:p>
    <w:p w:rsidR="00EE679A" w:rsidRPr="009A7C5B" w:rsidRDefault="00EE679A" w:rsidP="009A7C5B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t>5-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t xml:space="preserve"> «Bediüzzaman hapiste olduğu günler dahi Risale-i Nur’un neşriyatı durmamış, perde altında 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t>yüz binlerce nüshaları eski yazı ile neşret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t>meye</w:t>
      </w:r>
      <w:r w:rsidR="00D76EFE" w:rsidRPr="009A7C5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9A7C5B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"eski yaz› ile neﬂretmeye" </w:instrText>
      </w:r>
      <w:r w:rsidR="00D76EFE" w:rsidRPr="009A7C5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t>, Nur kahramanı Hüsrev</w:t>
      </w:r>
      <w:r w:rsidR="00D76EFE" w:rsidRPr="009A7C5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9A7C5B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"Hüsrev" </w:instrText>
      </w:r>
      <w:r w:rsidR="00D76EFE" w:rsidRPr="009A7C5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t xml:space="preserve"> gibi Nur ta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t>lebeleri mu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t>vaffak olmuşlar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t>dır.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t>» (Ta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softHyphen/>
        <w:t>rihçe-i Hayat sh: 545)</w:t>
      </w:r>
    </w:p>
    <w:p w:rsidR="00EE679A" w:rsidRPr="009A7C5B" w:rsidRDefault="00EE679A" w:rsidP="009A7C5B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t>6-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t xml:space="preserve"> «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t>Risale-i Nur’dan eskimez yazı öğren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t>meye</w:t>
      </w:r>
      <w:r w:rsidR="00D76EFE" w:rsidRPr="009A7C5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9A7C5B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"eskimez yaz› ö¤ren</w:instrTex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meye" </w:instrText>
      </w:r>
      <w:r w:rsidR="00D76EFE" w:rsidRPr="009A7C5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t xml:space="preserve"> ge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t>lince Kur’ân yazı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t>sıyla olan</w:t>
      </w:r>
      <w:r w:rsidR="00D76EFE" w:rsidRPr="009A7C5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9A7C5B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"Kur’ân yaz›s›yla olan" </w:instrText>
      </w:r>
      <w:r w:rsidR="00D76EFE" w:rsidRPr="009A7C5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t xml:space="preserve"> Nur Risalelerini yazmaktaki ka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t>zancımız çok bü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t>yük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t>tür. Eskimez yazıyı</w:t>
      </w:r>
      <w:r w:rsidR="00D76EFE" w:rsidRPr="009A7C5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9A7C5B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"Eskimez yaz›y›" </w:instrText>
      </w:r>
      <w:r w:rsidR="00D76EFE" w:rsidRPr="009A7C5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t xml:space="preserve"> kısa bir za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t>manda öğre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t>niyo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t>ruz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t>, hem yazarken malûmat elde ediyo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softHyphen/>
        <w:t>ruz. Hem, Risale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noBreakHyphen/>
        <w:t>i Nur eczalarını çoğaltmakla imâna ve Kur’ân’a hizmet edildiği için pek büyük mânevi kazançlar elde ediyoruz. Hem yazı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larak edinilen bilgi hâfızaya daha esaslı yerleşiyor. Bunun için şimdiye kadar 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t>binlerce genç Risale-i Nur’u yazarak Kur’ân yazısını öğ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t>renmiş ve öğ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t>renmektedir.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t>» (Gençlik Rehberi sh: 264)</w:t>
      </w:r>
    </w:p>
    <w:p w:rsidR="00EE679A" w:rsidRPr="009A7C5B" w:rsidRDefault="00EE679A" w:rsidP="009A7C5B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t>7-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t xml:space="preserve"> «Yeni hurufla yazdığınız iki mesele, cidden te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softHyphen/>
        <w:t>sirini gös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softHyphen/>
        <w:t>terdi. Bi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softHyphen/>
        <w:t>rinci, İkinci, Üçüncü Meseleleri de ya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zılsa çok iyi olur. Fakat 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t>Hüsrev ve Tahirî gibi ka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t xml:space="preserve">lemleri Kur’ân’a ve Kur’ân hattına </w:t>
      </w:r>
      <w:r w:rsidR="00D76EFE" w:rsidRPr="009A7C5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A7C5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"Kur’ân’a ve Kur’ân hatt›na " </w:instrText>
      </w:r>
      <w:r w:rsidR="00D76EFE" w:rsidRPr="009A7C5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t>mahsus ve memur olmala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t>rından bana endişe ve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t>rir. Başkalar yazsalar daha münasip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t>tir.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t xml:space="preserve">» (Şualar sh: 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lastRenderedPageBreak/>
        <w:t>303)</w:t>
      </w:r>
    </w:p>
    <w:p w:rsidR="00EE679A" w:rsidRPr="009A7C5B" w:rsidRDefault="00EE679A" w:rsidP="009A7C5B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t>8-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t xml:space="preserve"> «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t>Risale-i Nur’un bir vazifesi huruf-u Kur’âniye</w:t>
      </w:r>
      <w:r w:rsidR="00D76EFE" w:rsidRPr="009A7C5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9A7C5B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"Risale-i Nur’un bir vazifesi huruf-u Kur’âniye" </w:instrText>
      </w:r>
      <w:r w:rsidR="00D76EFE" w:rsidRPr="009A7C5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t>yi muhafaza oldu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t>ğundan yeni hurufa zaruret derecesinde</w:t>
      </w:r>
      <w:r w:rsidR="00D76EFE" w:rsidRPr="009A7C5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9A7C5B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"yeni hurufa zaruret derecesinde" </w:instrText>
      </w:r>
      <w:r w:rsidR="00D76EFE" w:rsidRPr="009A7C5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t xml:space="preserve"> inşaallah müsaade olur.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t>» (Kastamonu Lâhikası sh: 210)</w:t>
      </w:r>
    </w:p>
    <w:p w:rsidR="00EE679A" w:rsidRPr="009A7C5B" w:rsidRDefault="00EE679A" w:rsidP="009A7C5B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t>9-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t xml:space="preserve"> «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t>Risale-i Nur’un mühim bir vazifesi, âlem-i İslâmın ekseriyet-i mutlakasının yazısı ve hattı olan hu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t>ruf-u Arabiyeyi muhafaza</w:t>
      </w:r>
      <w:r w:rsidR="00D76EFE" w:rsidRPr="009A7C5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9A7C5B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"hu</w:instrTex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ruf-u Arabiyeyi muhafaza" </w:instrText>
      </w:r>
      <w:r w:rsidR="00D76EFE" w:rsidRPr="009A7C5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t xml:space="preserve"> et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t>mek olduğundan, tab’ yo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t>luyla işe girişilse, şimdi ekser halk yalnız yeni hurufu bildikleri için, en çok risaleleri yeni hurufla tab etmek lâzım gelecek. Bu ise, Risale-i Nur’un yeni hu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t>rufa bir fetvası olup şakirdleri de o kolay yazıyı tercih etmeye se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t xml:space="preserve">bep olur. 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t>Onun için, şim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softHyphen/>
        <w:t>diye kadar pek çok müstehak ve lâyık iken, Risale-i Nur’a serbesti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softHyphen/>
        <w:t>yet ve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softHyphen/>
        <w:t>rilmemişti. Lillâhilhamd, şimdi hakikatlerinin kuvve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softHyphen/>
        <w:t>tiyle serbestiyeti ka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softHyphen/>
        <w:t>zandı. Hattâ eski harfle tab’ ya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softHyphen/>
        <w:t>sak iken, Âyetü’l-Kübrâ’yı bize teslim etti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softHyphen/>
        <w:t>rip bir kera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softHyphen/>
        <w:t>met-i ekber gösterdi.</w:t>
      </w:r>
    </w:p>
    <w:p w:rsidR="00EE679A" w:rsidRPr="009A7C5B" w:rsidRDefault="00EE679A" w:rsidP="009A7C5B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A7C5B">
        <w:rPr>
          <w:rFonts w:eastAsia="Times New Roman" w:cstheme="minorHAnsi"/>
          <w:sz w:val="24"/>
          <w:szCs w:val="24"/>
          <w:lang w:val="tr-TR" w:eastAsia="tr-TR"/>
        </w:rPr>
        <w:t>Biz şimdi gayet mühim ve herkese lâzım Meyve ile Hüccetü’l-Bâliğa’yı ikisi bir cilt olarak yeni hurufla tab et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softHyphen/>
        <w:t>mek için Tahirî ile İstan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softHyphen/>
        <w:t>bul’a gönderdim.» (Emirdağ Lâhikası-I sh: 82)</w:t>
      </w:r>
    </w:p>
    <w:p w:rsidR="00EE679A" w:rsidRPr="009A7C5B" w:rsidRDefault="00EE679A" w:rsidP="009A7C5B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t xml:space="preserve">10- 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t>«Risale-i Nur kendi şakirdleri ile lâakal yüzer ka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lemle yüz parça Risale-i Nur’un eczalarıyla ve intişar eden yirmi bin nüshasıyla 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t>lâakal yüz bin adamı hu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t>ruf-u Kur’âniye lehine</w:t>
      </w:r>
      <w:r w:rsidR="00D76EFE" w:rsidRPr="009A7C5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A7C5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"hu</w:instrTex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ruf-u Kur’âniye lehine" </w:instrText>
      </w:r>
      <w:r w:rsidR="00D76EFE" w:rsidRPr="009A7C5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t xml:space="preserve"> ve sünnet-i seniyeye it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t>tibaa ve imanla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t>rının takviyesine ve Hz. Ali’nin (R.A.) hiddet ettiği iki ce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t>reyana</w:t>
      </w:r>
      <w:r w:rsidR="00D76EFE" w:rsidRPr="009A7C5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A7C5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"Hz. Ali’nin (r.a.) hiddet etti¤i iki ce</w:instrTex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reyana" </w:instrText>
      </w:r>
      <w:r w:rsidR="00D76EFE" w:rsidRPr="009A7C5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t xml:space="preserve"> karşı tama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t xml:space="preserve">mıyla mukavemet ettiklerinden elbette Hz. Ali’nin (R.A.) </w:t>
      </w:r>
      <w:r w:rsidR="00883AA3" w:rsidRPr="009A7C5B">
        <w:rPr>
          <w:rFonts w:eastAsia="Times New Roman" w:cstheme="minorHAnsi"/>
          <w:bCs/>
          <w:color w:val="FF0000"/>
          <w:sz w:val="28"/>
          <w:szCs w:val="28"/>
          <w:rtl/>
          <w:lang w:val="tr-TR" w:eastAsia="tr-TR"/>
        </w:rPr>
        <w:t>يَاايُّهاالْاِخْوَانُ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t>tabir ettiği ihvanları içinde hususî bir surette onlara bakıyor.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t>» (Osmanlıca Lem’alar sh: 316)</w:t>
      </w:r>
    </w:p>
    <w:p w:rsidR="00EE679A" w:rsidRPr="009A7C5B" w:rsidRDefault="00EE679A" w:rsidP="009A7C5B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t>Hatt-ı Kur’ânî, milletimizin yazısıdır</w:t>
      </w:r>
      <w:r w:rsidR="00D76EFE" w:rsidRPr="009A7C5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9A7C5B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"Hatt-› Kur’ânî, milletimizin yaz›s›d›r" </w:instrText>
      </w:r>
      <w:r w:rsidR="00D76EFE" w:rsidRPr="009A7C5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t>:</w:t>
      </w:r>
    </w:p>
    <w:p w:rsidR="00EE679A" w:rsidRPr="009A7C5B" w:rsidRDefault="00EE679A" w:rsidP="009A7C5B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t>11-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t xml:space="preserve"> «Hata 59: 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t>Hüsrev Altınbaşak, Türk Harfleri Kanununa aykırı olarak Asâ-yı Mûsâ ve Zülfikar gibi mecmuaları Arap harfleri</w:t>
      </w:r>
      <w:r w:rsidR="00D76EFE" w:rsidRPr="009A7C5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9A7C5B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"Arap harfleri" </w:instrText>
      </w:r>
      <w:r w:rsidR="00D76EFE" w:rsidRPr="009A7C5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t>yle yaz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t>mış.</w:t>
      </w:r>
    </w:p>
    <w:p w:rsidR="00EE679A" w:rsidRPr="009A7C5B" w:rsidRDefault="00EE679A" w:rsidP="009A7C5B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A7C5B">
        <w:rPr>
          <w:rFonts w:eastAsia="Times New Roman" w:cstheme="minorHAnsi"/>
          <w:sz w:val="24"/>
          <w:szCs w:val="24"/>
          <w:lang w:val="tr-TR" w:eastAsia="tr-TR"/>
        </w:rPr>
        <w:t xml:space="preserve">Cevap: 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t>Şimdiye kadar Kur’ân harfleri ve hattı, Türk milletinin hatt-ı kadîmi</w:t>
      </w:r>
      <w:r w:rsidR="00D76EFE" w:rsidRPr="009A7C5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9A7C5B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"Kur’ân harfleri ve hatt›, Türk milletinin hatt-› kadîmi" </w:instrText>
      </w:r>
      <w:r w:rsidR="00D76EFE" w:rsidRPr="009A7C5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t xml:space="preserve"> olduğu halde, Lâtin harfleri</w:t>
      </w:r>
      <w:r w:rsidR="00D76EFE" w:rsidRPr="009A7C5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9A7C5B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"Lâtin harfleri" </w:instrText>
      </w:r>
      <w:r w:rsidR="00D76EFE" w:rsidRPr="009A7C5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t>ni Türk harfleri</w:t>
      </w:r>
      <w:r w:rsidR="00D76EFE" w:rsidRPr="009A7C5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9A7C5B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"Türk harfleri" </w:instrText>
      </w:r>
      <w:r w:rsidR="00D76EFE" w:rsidRPr="009A7C5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t xml:space="preserve"> deyip Kur’ân harfleriyle Asâ-yı Mûsâ’yı yazan Hüsrev’i mes’ul etmek bir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t>kaç vecihte yanlış ol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t>du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t>ğunu ehl-i insaf anlar.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t>» (Şualar sh: 415)</w:t>
      </w:r>
    </w:p>
    <w:p w:rsidR="00EE679A" w:rsidRPr="009A7C5B" w:rsidRDefault="00EE679A" w:rsidP="009A7C5B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t>Hatt-ı Kur’ânî’nin tebdili</w:t>
      </w:r>
      <w:r w:rsidR="00D76EFE" w:rsidRPr="009A7C5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9A7C5B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"Hatt-› Kur’ânî’nin tebdili" </w:instrText>
      </w:r>
      <w:r w:rsidR="00D76EFE" w:rsidRPr="009A7C5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t>ne cevaz verenlere karşı gös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t xml:space="preserve">terilen şiddet: </w:t>
      </w:r>
    </w:p>
    <w:p w:rsidR="00EE679A" w:rsidRPr="009A7C5B" w:rsidRDefault="00EE679A" w:rsidP="009A7C5B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t>12-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t xml:space="preserve"> «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t>Hz. Ali</w:t>
      </w:r>
      <w:r w:rsidR="00D76EFE" w:rsidRPr="009A7C5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9A7C5B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"Hz. Ali" </w:instrText>
      </w:r>
      <w:r w:rsidR="00D76EFE" w:rsidRPr="009A7C5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t xml:space="preserve"> (R.A.) huruf-u ecnebiyi </w:t>
      </w:r>
      <w:r w:rsidR="00D76EFE" w:rsidRPr="009A7C5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9A7C5B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"huruf-u ecnebiyi " </w:instrText>
      </w:r>
      <w:r w:rsidR="00D76EFE" w:rsidRPr="009A7C5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t>İslâmlar içinde cebren kabul et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t>tirmek hadisesi ile ulemaü’s-su’un bid’a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lara yardımları</w:t>
      </w:r>
      <w:r w:rsidR="00D76EFE" w:rsidRPr="009A7C5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9A7C5B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"ulemaü’s-su’un bid’a</w:instrTex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lara yard›mlar›" </w:instrText>
      </w:r>
      <w:r w:rsidR="00D76EFE" w:rsidRPr="009A7C5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t>ndan tees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t>süfle bahsedip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t xml:space="preserve"> bu iki hadise or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softHyphen/>
        <w:t>ta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softHyphen/>
        <w:t>sında irşadkâ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softHyphen/>
        <w:t>rane bazılarından bahsedi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softHyphen/>
        <w:t>yor ki, o Sekine</w:t>
      </w:r>
      <w:r w:rsidR="00D76EFE" w:rsidRPr="009A7C5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A7C5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instrText xml:space="preserve"> "Sekine" </w:instrText>
      </w:r>
      <w:r w:rsidR="00D76EFE" w:rsidRPr="009A7C5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A7C5B">
        <w:rPr>
          <w:rFonts w:eastAsia="Times New Roman" w:cstheme="minorHAnsi"/>
          <w:sz w:val="24"/>
          <w:szCs w:val="24"/>
          <w:lang w:val="tr-TR" w:eastAsia="tr-TR"/>
        </w:rPr>
        <w:t xml:space="preserve"> olan İsm-i Âzamla 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t>ecnebi hurufuna karşı mukabele edi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t xml:space="preserve">yor. 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t>Hem ule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softHyphen/>
        <w:t>maü’s-su’a muhalefet ediyor. İşte bu za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softHyphen/>
        <w:t>manda o adamla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rın 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t>Risale-i Nur şakirdleri ve naşirleri ol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t>dukları şüphesizdir. Çünkü onlardır ki hatt-ı Kur’ân’ı muhafaza ediyor</w:t>
      </w:r>
      <w:r w:rsidR="00D76EFE" w:rsidRPr="009A7C5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9A7C5B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"hatt-› Kur’ân’› muhafaza ediyor" </w:instrText>
      </w:r>
      <w:r w:rsidR="00D76EFE" w:rsidRPr="009A7C5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t>lar ve bid’a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t>kâr bir kı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t>sım ulema</w:t>
      </w:r>
      <w:r w:rsidR="00D76EFE" w:rsidRPr="009A7C5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9A7C5B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"bid’a</w:instrTex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>kâr bir k›</w:instrTex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s›m ulema" </w:instrText>
      </w:r>
      <w:r w:rsidR="00D76EFE" w:rsidRPr="009A7C5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t>lara karşı da mukavemet ediyorlar.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t>» (Osmanlıca 18. Lem’a sh: 313)</w:t>
      </w:r>
    </w:p>
    <w:p w:rsidR="00EE679A" w:rsidRPr="009A7C5B" w:rsidRDefault="00EE679A" w:rsidP="009A7C5B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t>13-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t xml:space="preserve"> «Beşinci emare: Ecnebi hurufatını ehl-i İslâmın en mü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softHyphen/>
        <w:t>him hükü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softHyphen/>
        <w:t>meti resmi bir surette kabul ve neşir ve ceb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rettiği halde 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t>Risale-i Nur şakirdleri bütün kuv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t>vetleriyle hatt-ı Kur’âniyeyi harika bir surette neşir ve tamim</w:t>
      </w:r>
      <w:r w:rsidR="00D76EFE" w:rsidRPr="009A7C5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A7C5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"hatt-› Kur’âniyeyi neﬂir ve tamim" </w:instrText>
      </w:r>
      <w:r w:rsidR="00D76EFE" w:rsidRPr="009A7C5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t xml:space="preserve"> ile mu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t>hafazasına ça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t>lıştıkları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t xml:space="preserve"> bir zamanda Hz. Ali (R.A.) aynı tarihiyle</w:t>
      </w:r>
      <w:r w:rsidR="00D76EFE" w:rsidRPr="009A7C5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A7C5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instrText xml:space="preserve"> "Hz. Ali (r.a.) tarihiyle" </w:instrText>
      </w:r>
      <w:r w:rsidR="00D76EFE" w:rsidRPr="009A7C5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A7C5B">
        <w:rPr>
          <w:rFonts w:eastAsia="Times New Roman" w:cstheme="minorHAnsi"/>
          <w:sz w:val="24"/>
          <w:szCs w:val="24"/>
          <w:lang w:val="tr-TR" w:eastAsia="tr-TR"/>
        </w:rPr>
        <w:t xml:space="preserve"> ondan ha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softHyphen/>
        <w:t>ber vermekle gaybî ke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softHyphen/>
        <w:t>rametini be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softHyphen/>
        <w:t>yan ettiği yerde ulema içinde birisine iltifat gösteriyor. Elbette bu iltifatın gerçi çok ef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softHyphen/>
        <w:t>radı olabilir. Fakat bu ka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softHyphen/>
        <w:t>rine-i hal gösteriyor ki Risale-i Nur şakird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softHyphen/>
        <w:t>leri bir husu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softHyphen/>
        <w:t>siyet kesbetmiş ki Hz. Ali (R.A.) ilti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softHyphen/>
        <w:t>fatla Risale-i Nur’u alkışlı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softHyphen/>
        <w:t>yor.» (Osmanlıca 18. Lem’a sh: 315)</w:t>
      </w:r>
    </w:p>
    <w:p w:rsidR="00EE679A" w:rsidRPr="009A7C5B" w:rsidRDefault="00EE679A" w:rsidP="009A7C5B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t>14-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t xml:space="preserve"> «Hazret-i İmam-ı Ali</w:t>
      </w:r>
      <w:r w:rsidR="00D76EFE" w:rsidRPr="009A7C5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A7C5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instrText xml:space="preserve"> "Hazret-i ‹mam-› Ali" </w:instrText>
      </w:r>
      <w:r w:rsidR="00D76EFE" w:rsidRPr="009A7C5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A7C5B">
        <w:rPr>
          <w:rFonts w:eastAsia="Times New Roman" w:cstheme="minorHAnsi"/>
          <w:sz w:val="24"/>
          <w:szCs w:val="24"/>
          <w:lang w:val="tr-TR" w:eastAsia="tr-TR"/>
        </w:rPr>
        <w:t xml:space="preserve"> radiyallahu anhu, Kaside-i Ercûze</w:t>
      </w:r>
      <w:r w:rsidR="00D76EFE" w:rsidRPr="009A7C5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A7C5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instrText xml:space="preserve"> "Kaside-i Ercûze" </w:instrText>
      </w:r>
      <w:r w:rsidR="00D76EFE" w:rsidRPr="009A7C5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="00883AA3" w:rsidRPr="009A7C5B">
        <w:rPr>
          <w:rFonts w:eastAsia="Times New Roman" w:cstheme="minorHAnsi"/>
          <w:sz w:val="24"/>
          <w:szCs w:val="24"/>
          <w:lang w:val="tr-TR" w:eastAsia="tr-TR"/>
        </w:rPr>
        <w:t xml:space="preserve">sinde </w:t>
      </w:r>
      <w:r w:rsidR="00883AA3" w:rsidRPr="009A7C5B">
        <w:rPr>
          <w:rFonts w:cstheme="minorHAnsi"/>
          <w:color w:val="FF0000"/>
          <w:sz w:val="28"/>
          <w:szCs w:val="28"/>
          <w:highlight w:val="white"/>
          <w:rtl/>
        </w:rPr>
        <w:t>اَحْرُفُ عُجْمٍ سُطِّرَتْ تَسْطِيرًا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t xml:space="preserve"> deyip, 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t>bu za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t>manda tamim edilen ecnebi harflerine bakıp, bu cüm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t xml:space="preserve">ledeki harflerin cifri ve ebcedi 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lastRenderedPageBreak/>
        <w:t>rakamla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t>rının bu zamana parmak basma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larıyla vaki ce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t xml:space="preserve">reyan-ı küfriyâneye işaret </w:t>
      </w:r>
      <w:r w:rsidR="00D76EFE" w:rsidRPr="009A7C5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A7C5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"ce</w:instrTex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>re</w:instrTex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yan-› küfriyâneye iﬂaret " </w:instrText>
      </w:r>
      <w:r w:rsidR="00D76EFE" w:rsidRPr="009A7C5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t>ettiği.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t>» (Lem’alar sh: 447)</w:t>
      </w:r>
    </w:p>
    <w:p w:rsidR="00AC1666" w:rsidRPr="009A7C5B" w:rsidRDefault="00EE679A" w:rsidP="009A7C5B">
      <w:pPr>
        <w:widowControl w:val="0"/>
        <w:spacing w:before="120" w:after="0" w:line="240" w:lineRule="auto"/>
        <w:jc w:val="both"/>
        <w:rPr>
          <w:rFonts w:cstheme="minorHAnsi"/>
          <w:color w:val="FF0000"/>
          <w:sz w:val="28"/>
          <w:szCs w:val="28"/>
          <w:highlight w:val="white"/>
        </w:rPr>
      </w:pP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t>15-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t xml:space="preserve"> Hem yine </w:t>
      </w:r>
      <w:r w:rsidR="00AC1666" w:rsidRPr="009A7C5B">
        <w:rPr>
          <w:rFonts w:cstheme="minorHAnsi"/>
          <w:color w:val="FF0000"/>
          <w:sz w:val="28"/>
          <w:szCs w:val="28"/>
          <w:highlight w:val="white"/>
          <w:rtl/>
        </w:rPr>
        <w:t>اَحْرُفُ عُجْمٍ سُطِّرَتْ تَسْطِيرًا بِتَّ بِهَا اْلاَمِيرُ وَالْفَقِيرَا</w:t>
      </w:r>
      <w:bookmarkStart w:id="3" w:name="_GoBack"/>
      <w:bookmarkEnd w:id="3"/>
    </w:p>
    <w:p w:rsidR="00EE679A" w:rsidRPr="009A7C5B" w:rsidRDefault="00EE679A" w:rsidP="009A7C5B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9A7C5B">
        <w:rPr>
          <w:rFonts w:eastAsia="Times New Roman" w:cstheme="minorHAnsi"/>
          <w:sz w:val="24"/>
          <w:szCs w:val="24"/>
          <w:lang w:val="tr-TR" w:eastAsia="tr-TR"/>
        </w:rPr>
        <w:t xml:space="preserve"> Yani, 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t>ecnebi hurufları 1348’de tâmim edilecek,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t xml:space="preserve"> çoluk-çocuk emirler ve fa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softHyphen/>
        <w:t>kirler</w:t>
      </w:r>
      <w:r w:rsidR="00D76EFE" w:rsidRPr="009A7C5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A7C5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instrText xml:space="preserve"> "çoluk-çocuk emirler ve fa</w:instrTex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kirler" </w:instrText>
      </w:r>
      <w:r w:rsidR="00D76EFE" w:rsidRPr="009A7C5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A7C5B">
        <w:rPr>
          <w:rFonts w:eastAsia="Times New Roman" w:cstheme="minorHAnsi"/>
          <w:sz w:val="24"/>
          <w:szCs w:val="24"/>
          <w:lang w:val="tr-TR" w:eastAsia="tr-TR"/>
        </w:rPr>
        <w:t xml:space="preserve"> icbar suretinde, gece dersleriyle öğ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softHyphen/>
        <w:t>renme</w:t>
      </w:r>
      <w:r w:rsidR="00D76EFE" w:rsidRPr="009A7C5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9A7C5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instrText xml:space="preserve"> "gece dersleriyle ö¤</w:instrTex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renme" </w:instrText>
      </w:r>
      <w:r w:rsidR="00D76EFE" w:rsidRPr="009A7C5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9A7C5B">
        <w:rPr>
          <w:rFonts w:eastAsia="Times New Roman" w:cstheme="minorHAnsi"/>
          <w:sz w:val="24"/>
          <w:szCs w:val="24"/>
          <w:lang w:val="tr-TR" w:eastAsia="tr-TR"/>
        </w:rPr>
        <w:t>ye çalışacak</w:t>
      </w:r>
      <w:r w:rsidRPr="009A7C5B">
        <w:rPr>
          <w:rFonts w:eastAsia="Times New Roman" w:cstheme="minorHAnsi"/>
          <w:sz w:val="24"/>
          <w:szCs w:val="24"/>
          <w:lang w:val="tr-TR" w:eastAsia="tr-TR"/>
        </w:rPr>
        <w:softHyphen/>
        <w:t>lar.» (Şualar sh: 736)</w:t>
      </w:r>
    </w:p>
    <w:p w:rsidR="00EE679A" w:rsidRPr="009A7C5B" w:rsidRDefault="00EE679A" w:rsidP="009A7C5B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t>Yukarıda kısmen nakledilen sarih ifade ve be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t>yanlar, Kur’ân yazısı hem bir şeair</w:t>
      </w:r>
      <w:r w:rsidR="00D76EFE" w:rsidRPr="009A7C5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9A7C5B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"Kur’ân yaz›s› hem bir ﬂeair" </w:instrText>
      </w:r>
      <w:r w:rsidR="00D76EFE" w:rsidRPr="009A7C5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t>, hem bu milletin ve âlem-i İslâmın müşterek esas yazısı olduğunu ifade eder.</w:t>
      </w:r>
    </w:p>
    <w:p w:rsidR="00EE679A" w:rsidRPr="009A7C5B" w:rsidRDefault="00EE679A" w:rsidP="009A7C5B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t>Ve bu yazıyı muha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t>faza etmek, Risale-i Nur’un bir va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t>zifesi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t>dir.  Bu beyan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lar, bu sarih hükmün kat’iyetle te’vili mümkün ol</w:t>
      </w:r>
      <w:r w:rsidRPr="009A7C5B">
        <w:rPr>
          <w:rFonts w:eastAsia="Times New Roman" w:cstheme="minorHAnsi"/>
          <w:b/>
          <w:sz w:val="24"/>
          <w:szCs w:val="24"/>
          <w:lang w:val="tr-TR" w:eastAsia="tr-TR"/>
        </w:rPr>
        <w:softHyphen/>
        <w:t>madığını gösterir.</w:t>
      </w:r>
    </w:p>
    <w:p w:rsidR="00D87CCA" w:rsidRPr="009A7C5B" w:rsidRDefault="00D87CCA" w:rsidP="009A7C5B">
      <w:pPr>
        <w:spacing w:before="120" w:after="0" w:line="240" w:lineRule="auto"/>
        <w:rPr>
          <w:rFonts w:cstheme="minorHAnsi"/>
          <w:sz w:val="24"/>
          <w:szCs w:val="24"/>
          <w:lang w:val="tr-TR"/>
        </w:rPr>
      </w:pPr>
    </w:p>
    <w:sectPr w:rsidR="00D87CCA" w:rsidRPr="009A7C5B" w:rsidSect="00D76EF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385" w:rsidRDefault="007C5385" w:rsidP="00EE679A">
      <w:pPr>
        <w:spacing w:after="0" w:line="240" w:lineRule="auto"/>
      </w:pPr>
      <w:r>
        <w:separator/>
      </w:r>
    </w:p>
  </w:endnote>
  <w:endnote w:type="continuationSeparator" w:id="1">
    <w:p w:rsidR="007C5385" w:rsidRDefault="007C5385" w:rsidP="00EE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385" w:rsidRDefault="007C5385" w:rsidP="00EE679A">
      <w:pPr>
        <w:spacing w:after="0" w:line="240" w:lineRule="auto"/>
      </w:pPr>
      <w:r>
        <w:separator/>
      </w:r>
    </w:p>
  </w:footnote>
  <w:footnote w:type="continuationSeparator" w:id="1">
    <w:p w:rsidR="007C5385" w:rsidRDefault="007C5385" w:rsidP="00EE679A">
      <w:pPr>
        <w:spacing w:after="0" w:line="240" w:lineRule="auto"/>
      </w:pPr>
      <w:r>
        <w:continuationSeparator/>
      </w:r>
    </w:p>
  </w:footnote>
  <w:footnote w:id="2">
    <w:p w:rsidR="00EE679A" w:rsidRPr="009A7C5B" w:rsidRDefault="00EE679A" w:rsidP="009A7C5B">
      <w:pPr>
        <w:pStyle w:val="dipnot"/>
        <w:rPr>
          <w:rFonts w:asciiTheme="minorHAnsi" w:hAnsiTheme="minorHAnsi" w:cstheme="minorHAnsi"/>
          <w:sz w:val="24"/>
          <w:szCs w:val="24"/>
        </w:rPr>
      </w:pPr>
      <w:r w:rsidRPr="009A7C5B">
        <w:rPr>
          <w:rStyle w:val="FootnoteReference"/>
          <w:rFonts w:asciiTheme="minorHAnsi" w:hAnsiTheme="minorHAnsi" w:cstheme="minorHAnsi"/>
          <w:sz w:val="24"/>
          <w:szCs w:val="24"/>
        </w:rPr>
        <w:t>HAŞİYE:</w:t>
      </w:r>
      <w:r w:rsidRPr="009A7C5B">
        <w:rPr>
          <w:rFonts w:asciiTheme="minorHAnsi" w:hAnsiTheme="minorHAnsi" w:cstheme="minorHAnsi"/>
          <w:sz w:val="24"/>
          <w:szCs w:val="24"/>
        </w:rPr>
        <w:t xml:space="preserve"> İlm-i sarf kaidesince, feilün, “fe’lün” okunur –ketifün, “ketfün” okunması gibi. Buna binaen, elifün, “el</w:t>
      </w:r>
      <w:r w:rsidRPr="009A7C5B">
        <w:rPr>
          <w:rFonts w:asciiTheme="minorHAnsi" w:hAnsiTheme="minorHAnsi" w:cstheme="minorHAnsi"/>
          <w:sz w:val="24"/>
          <w:szCs w:val="24"/>
        </w:rPr>
        <w:softHyphen/>
        <w:t>fün” okunur. O halde 1351 olur. (Müellif)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679A"/>
    <w:rsid w:val="005C38C1"/>
    <w:rsid w:val="007C5385"/>
    <w:rsid w:val="00883AA3"/>
    <w:rsid w:val="009A7C5B"/>
    <w:rsid w:val="00AC1666"/>
    <w:rsid w:val="00BE5D37"/>
    <w:rsid w:val="00D76EFE"/>
    <w:rsid w:val="00D87CCA"/>
    <w:rsid w:val="00EE679A"/>
    <w:rsid w:val="00EF2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EE679A"/>
    <w:rPr>
      <w:rFonts w:ascii="Times New Roman" w:hAnsi="Times New Roman"/>
      <w:dstrike w:val="0"/>
      <w:position w:val="6"/>
      <w:sz w:val="16"/>
      <w:szCs w:val="20"/>
      <w:vertAlign w:val="baseline"/>
    </w:rPr>
  </w:style>
  <w:style w:type="paragraph" w:customStyle="1" w:styleId="dipnot">
    <w:name w:val="dipnot"/>
    <w:basedOn w:val="Normal"/>
    <w:rsid w:val="00EE679A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tr-TR" w:eastAsia="tr-T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7C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7C5B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EE679A"/>
    <w:rPr>
      <w:rFonts w:ascii="Times New Roman" w:hAnsi="Times New Roman"/>
      <w:dstrike w:val="0"/>
      <w:position w:val="6"/>
      <w:sz w:val="16"/>
      <w:szCs w:val="20"/>
      <w:vertAlign w:val="baseline"/>
    </w:rPr>
  </w:style>
  <w:style w:type="paragraph" w:customStyle="1" w:styleId="dipnot">
    <w:name w:val="dipnot"/>
    <w:basedOn w:val="Normal"/>
    <w:rsid w:val="00EE679A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Erkay</dc:creator>
  <cp:lastModifiedBy>RISALEINUR</cp:lastModifiedBy>
  <cp:revision>5</cp:revision>
  <dcterms:created xsi:type="dcterms:W3CDTF">2020-01-09T16:53:00Z</dcterms:created>
  <dcterms:modified xsi:type="dcterms:W3CDTF">2020-03-15T22:06:00Z</dcterms:modified>
</cp:coreProperties>
</file>